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E1129D" w:rsidRDefault="006F3AE8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E7677E">
        <w:rPr>
          <w:rFonts w:cs="Times New Roman"/>
          <w:b/>
          <w:sz w:val="28"/>
          <w:szCs w:val="28"/>
        </w:rPr>
        <w:t>26</w:t>
      </w:r>
      <w:r w:rsidR="00E1129D">
        <w:rPr>
          <w:rFonts w:cs="Times New Roman"/>
          <w:b/>
          <w:sz w:val="28"/>
          <w:szCs w:val="28"/>
        </w:rPr>
        <w:t xml:space="preserve"> </w:t>
      </w:r>
      <w:r w:rsidR="00E7677E">
        <w:rPr>
          <w:rFonts w:cs="Times New Roman"/>
          <w:b/>
          <w:sz w:val="28"/>
          <w:szCs w:val="28"/>
        </w:rPr>
        <w:t>октября</w:t>
      </w:r>
      <w:r w:rsidR="00F40CDF">
        <w:rPr>
          <w:rFonts w:cs="Times New Roman"/>
          <w:b/>
          <w:sz w:val="28"/>
          <w:szCs w:val="28"/>
        </w:rPr>
        <w:t xml:space="preserve">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AF3D0E" w:rsidRDefault="00AF3D0E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C325C9" w:rsidRPr="00D9324B" w:rsidRDefault="00C325C9" w:rsidP="00C325C9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9324B">
        <w:rPr>
          <w:rFonts w:eastAsia="Times New Roman" w:cs="Times New Roman"/>
          <w:b/>
          <w:sz w:val="28"/>
          <w:szCs w:val="28"/>
          <w:lang w:eastAsia="ru-RU"/>
        </w:rPr>
        <w:t>Обзор. «Евразийская интеграция. Транспортные коридоры»</w:t>
      </w:r>
    </w:p>
    <w:p w:rsidR="00C325C9" w:rsidRPr="00076CF2" w:rsidRDefault="00C325C9" w:rsidP="00C325C9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25C9" w:rsidRDefault="00C325C9" w:rsidP="00C325C9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Владимир Путин</w:t>
      </w:r>
      <w:r w:rsidRPr="0021567D"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b/>
          <w:bCs/>
          <w:sz w:val="28"/>
          <w:szCs w:val="28"/>
        </w:rPr>
        <w:t xml:space="preserve">"Прибыль, выгода от транзитных коридоров не должна проходить </w:t>
      </w:r>
      <w:r w:rsidRPr="0021567D"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транзитом</w:t>
      </w:r>
      <w:r w:rsidRPr="0021567D">
        <w:rPr>
          <w:rFonts w:cs="Times New Roman"/>
          <w:b/>
          <w:bCs/>
          <w:sz w:val="28"/>
          <w:szCs w:val="28"/>
        </w:rPr>
        <w:t xml:space="preserve">» </w:t>
      </w:r>
      <w:r>
        <w:rPr>
          <w:rFonts w:cs="Times New Roman"/>
          <w:b/>
          <w:bCs/>
          <w:sz w:val="28"/>
          <w:szCs w:val="28"/>
        </w:rPr>
        <w:t xml:space="preserve">мимо дальневосточных регионов, мимо интересов живущих здесь людей" </w:t>
      </w:r>
      <w:r w:rsidRPr="0021567D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C325C9" w:rsidRDefault="00C325C9" w:rsidP="00C325C9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C325C9" w:rsidRDefault="00C325C9" w:rsidP="00C325C9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21567D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Президент РФ Владимир Путин на пленарном заседании 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 xml:space="preserve"> Восточного экономического форума отметил: </w:t>
      </w:r>
      <w:r w:rsidRPr="0021567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Современная транспортная, экспортная инфраструктура должна стать каркасом для создания на Дальнем Востоке качественных рабочих мест, новых производств и предприятий, выпускающих продукцию с высокой добавленной стоимостью.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Чтобы поддержать предпринимателей как российских, так и зарубежных, обеспечить им льготное финансирование, мы намерены пополнить Фонд развития Дальнего Востока уже в этом году более чем на восемь миллиардов рублей. Прошу также Правительство определиться с докапитализацией Фонда на предстоящие три года.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Дальний Восток должен в полной мере реализовать свой логистический потенциал. Масштабная модернизация БАМа и Транссиба, развитие дальневосточных портов и Северного морского пути кардинально усилят транспортную связанность АТР и Европы. В ближайшие годы нам нужно на современном уровне обустроить пограничные переходы на Дальнем Востоке, сделать более удобной для граждан, бизнеса работу таможенных, контрольных, пограничных и других служб, работающих на границе.</w:t>
      </w:r>
    </w:p>
    <w:p w:rsidR="00C325C9" w:rsidRDefault="00347A18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C325C9">
        <w:rPr>
          <w:rFonts w:cs="Times New Roman"/>
          <w:sz w:val="28"/>
          <w:szCs w:val="28"/>
        </w:rPr>
        <w:t xml:space="preserve"> предстоящие шесть лет объём транзитных перевозок контейнеров по железной дороге должен увеличиться в четыре раза, а время в пути с Дальнего Востока до западной границы России – сократиться до семи дней. Грузопоток Северного морского пути должен вырасти до 80 миллионов тонн в год.</w:t>
      </w:r>
    </w:p>
    <w:p w:rsidR="00C325C9" w:rsidRPr="0021567D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Россия, наш Дальний Восток, безусловно, открыты для укрепления деловых связей. Убеждены, взаимная выгода здесь очевидна. Подчеркну: всё </w:t>
      </w:r>
      <w:r>
        <w:rPr>
          <w:rFonts w:cs="Times New Roman"/>
          <w:sz w:val="28"/>
          <w:szCs w:val="28"/>
        </w:rPr>
        <w:lastRenderedPageBreak/>
        <w:t xml:space="preserve">это просчитанные, реализуемые планы, тем более что интерес, запросы бизнеса к такой инфраструктуре очевидны. Так, по Северному морскому пути – самому короткому морскому маршруту между Дальним Востоком и Европой – буквально в эти дни проходит первое контейнерное судно ледового класса </w:t>
      </w:r>
      <w:r w:rsidRPr="0021567D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Арктик–4</w:t>
      </w:r>
      <w:r w:rsidRPr="0021567D">
        <w:rPr>
          <w:rFonts w:cs="Times New Roman"/>
          <w:sz w:val="28"/>
          <w:szCs w:val="28"/>
        </w:rPr>
        <w:t>».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Этот рейс, пролегающий от Владивостока до Санкт-Петербурга, с заходом предварительно в корейский Пусан и затем в германский Бремерхафен, без преувеличения, открывает новую страницу в истории торгового мореплавания, подтверждает безопасность, эффективность и востребованность российской Арктики, всего Северного морского пути как международного коридора. Мы приглашаем заинтересованных партнёров к освоению этой перспективной транспортной артерии. И мы уже знаем, что такая заинтересованность, такой интерес у наших партнёров есть. 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Очевидно, что прибыль, выгода от транзитных корид</w:t>
      </w:r>
      <w:r w:rsidR="00347A18">
        <w:rPr>
          <w:rFonts w:cs="Times New Roman"/>
          <w:sz w:val="28"/>
          <w:szCs w:val="28"/>
        </w:rPr>
        <w:t xml:space="preserve">оров не должна проходить </w:t>
      </w:r>
      <w:r>
        <w:rPr>
          <w:rFonts w:cs="Times New Roman"/>
          <w:sz w:val="28"/>
          <w:szCs w:val="28"/>
        </w:rPr>
        <w:t>мимо дальневосточных регионов, мимо интересов живущих здесь людей.  Это чрезвычайно важно. Нам, конечно, важно создавать транспортные коридоры экспортно</w:t>
      </w:r>
      <w:r w:rsidR="00347A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ориентированные, но ещё важнее развивать собственную экономику, собственное производство.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пользователи дальневосточных транспортных коридоров, портов – как правило, крупные угольные, энергетические компании. Предлагаю подумать, как стимулировать этих российских экспортёров направлять часть своих доходов и в эффективные экономические и социальные проекты на Дальнем Востоке.</w:t>
      </w:r>
    </w:p>
    <w:p w:rsidR="00C325C9" w:rsidRDefault="00C325C9" w:rsidP="00C325C9">
      <w:pPr>
        <w:shd w:val="clear" w:color="auto" w:fill="FFFFFF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325C9" w:rsidRDefault="00C325C9" w:rsidP="00C325C9">
      <w:pPr>
        <w:shd w:val="clear" w:color="auto" w:fill="FFFFFF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325C9" w:rsidRPr="009A6012" w:rsidRDefault="00C325C9" w:rsidP="00C325C9">
      <w:pPr>
        <w:shd w:val="clear" w:color="auto" w:fill="FFFFFF"/>
        <w:spacing w:before="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b/>
          <w:color w:val="000000"/>
          <w:sz w:val="28"/>
          <w:szCs w:val="28"/>
          <w:lang w:eastAsia="ru-RU"/>
        </w:rPr>
        <w:t>Транзитный поток европейских грузов чере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 РК в КНР возрос до 70% от железнодорожной </w:t>
      </w:r>
      <w:r w:rsidRPr="00076CF2">
        <w:rPr>
          <w:rFonts w:eastAsia="Times New Roman" w:cs="Times New Roman"/>
          <w:b/>
          <w:color w:val="000000"/>
          <w:sz w:val="28"/>
          <w:szCs w:val="28"/>
          <w:lang w:eastAsia="ru-RU"/>
        </w:rPr>
        <w:t>мощности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6012">
        <w:rPr>
          <w:rFonts w:eastAsia="Times New Roman" w:cs="Times New Roman"/>
          <w:color w:val="000000"/>
          <w:sz w:val="28"/>
          <w:szCs w:val="28"/>
          <w:lang w:eastAsia="ru-RU"/>
        </w:rPr>
        <w:t>#рост</w:t>
      </w:r>
    </w:p>
    <w:p w:rsidR="00C325C9" w:rsidRPr="00076CF2" w:rsidRDefault="00C325C9" w:rsidP="00C325C9">
      <w:pPr>
        <w:shd w:val="clear" w:color="auto" w:fill="FFFFFF"/>
        <w:spacing w:before="15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325C9" w:rsidRPr="00076CF2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Министр по инвестициям и развитию РК выступил на казахстанско-китайском бизнес-</w:t>
      </w:r>
      <w:r w:rsidRPr="00076CF2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форуме</w:t>
      </w:r>
      <w:r w:rsidRPr="009A60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Транзитный поток европейских грузов через Казахстан в Китай возрос до 70% от возможной железнодорожной провозной мощности, </w:t>
      </w:r>
      <w:r w:rsidRPr="00076CF2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сообщил министр по инвестициям и развитию РК Женис Касымбек.</w:t>
      </w:r>
    </w:p>
    <w:p w:rsidR="00C325C9" w:rsidRPr="00076CF2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«Мы видим ежегодное кратное увеличение транзита из Китая контейнеров через Казахстан в Россию и дальше по направлению…. И замечательно то, что, если раньше это one way-контейнеры были - в одну сторону, обратно загрузки не было, то сегодня мы видим по некоторым направлениям 70% обратно загрузки. То есть появился груз из Европы </w:t>
      </w:r>
      <w:r w:rsidRPr="009A6012">
        <w:rPr>
          <w:rFonts w:eastAsia="Times New Roman" w:cs="Times New Roman"/>
          <w:color w:val="000000"/>
          <w:sz w:val="28"/>
          <w:szCs w:val="28"/>
          <w:lang w:eastAsia="ru-RU"/>
        </w:rPr>
        <w:t>в Китай</w:t>
      </w: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», - сказал он журналистам в кулуарах казахстанско-китайского бизнес-</w:t>
      </w:r>
      <w:r w:rsidRPr="00076CF2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форума</w:t>
      </w: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 7 сентября.</w:t>
      </w:r>
    </w:p>
    <w:p w:rsidR="00C325C9" w:rsidRPr="00076CF2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Министр напомнил на бизнес-</w:t>
      </w:r>
      <w:r w:rsidRPr="00076CF2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форуме,</w:t>
      </w: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 что в прошлом году в целях развития евразийских транспортных коридоров и создания благоприятных условий для перевозок был подписан план сотрудничества по сопряжению новой экономической политики «Нұрлы жол» и строительства «Экономического пояса Шелкового пути».</w:t>
      </w:r>
    </w:p>
    <w:p w:rsidR="00C325C9" w:rsidRPr="00076CF2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«Реализация этого плана позволит полноценно использовать преимущества географического положения наших стран, реконструировать старые и построить новые автомобильные и железные дороги, создать современную сеть международных логистических центров и хабов на территории от Китая и до ЕС, увеличить товарооборот», - сказал Касымбек.</w:t>
      </w:r>
    </w:p>
    <w:p w:rsidR="00C325C9" w:rsidRPr="00076CF2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В 2017 году доля КНР в общем объеме внешнего товарооборота РК составила 17,4% - внешнеторговый оборот между нашими странами увеличился более чем на 30% и составил $10,5 млрд. По итогам января-апреля 2018 года взаимные объемы торговли увеличились на 20% и составили $3,5 млрд.</w:t>
      </w:r>
    </w:p>
    <w:p w:rsidR="00C325C9" w:rsidRPr="00076CF2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«За 5 лет мы уже ввели в эксплуатацию ряд крупных инфраструктурных проектов: порт Ляньюньган, сухой порт Хоргос на границе с Китаем, порт Актау на Каспийском море, новый железнодорожный коридор «Казахстан - Туркменистан – Иран» общей протяженностью около 900 км, соединяющий страны Центральной Азии с Персидским заливом и портом Бандар-Аббас на </w:t>
      </w:r>
      <w:r w:rsidRPr="009A60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Ок</w:t>
      </w: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юге Ирана, </w:t>
      </w:r>
      <w:r w:rsidRPr="00076CF2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международный</w:t>
      </w: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 транзитный коридор «Западная Европа - Западный Китай», часть которого проходит через территорию Казахстана», - сообщил министр.</w:t>
      </w:r>
    </w:p>
    <w:p w:rsidR="00C325C9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6CF2">
        <w:rPr>
          <w:rFonts w:eastAsia="Times New Roman" w:cs="Times New Roman"/>
          <w:color w:val="000000"/>
          <w:sz w:val="28"/>
          <w:szCs w:val="28"/>
          <w:lang w:eastAsia="ru-RU"/>
        </w:rPr>
        <w:t>Принятые меры позволили доставлять грузы из Китая через Казахстан в Европу примерно за 15 дней, при этом доставка морским путем занимает от 4 до 6 недель.</w:t>
      </w:r>
    </w:p>
    <w:p w:rsidR="00C325C9" w:rsidRPr="00076CF2" w:rsidRDefault="00C325C9" w:rsidP="00C325C9">
      <w:pPr>
        <w:shd w:val="clear" w:color="auto" w:fill="FFFFFF"/>
        <w:ind w:firstLine="4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25C9" w:rsidRPr="009A6012" w:rsidRDefault="00C325C9" w:rsidP="00C325C9"/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012">
        <w:rPr>
          <w:b/>
          <w:color w:val="000000"/>
          <w:sz w:val="28"/>
          <w:szCs w:val="28"/>
        </w:rPr>
        <w:t>Дипломаты и инвесторы из 40 стран ознакомились с транзитным потенциалом логистического хаба «Хоргос</w:t>
      </w:r>
      <w:r w:rsidRPr="009A6012">
        <w:rPr>
          <w:color w:val="000000"/>
          <w:sz w:val="28"/>
          <w:szCs w:val="28"/>
        </w:rPr>
        <w:t>» #рост</w:t>
      </w: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A6012">
        <w:rPr>
          <w:color w:val="000000"/>
          <w:sz w:val="28"/>
          <w:szCs w:val="28"/>
          <w:bdr w:val="none" w:sz="0" w:space="0" w:color="auto" w:frame="1"/>
        </w:rPr>
        <w:t>Стратегический объект, соединяющий Китай, Центральную Азию и Европу, посетили Чрезвычайные и Полномочные послы, аккредитованные в Казахстане, а также представители Королевства Таиланд, Королевства Нидерланды, Австрии, Бельгии и ряда международных организаций и банков. Выездную экскурсию для дипкорпуса и иностранных инвесторов организовали МИД РК и АО «НК «Қазақстан Темір Жолы</w:t>
      </w: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A6012">
        <w:rPr>
          <w:color w:val="000000"/>
          <w:sz w:val="28"/>
          <w:szCs w:val="28"/>
        </w:rPr>
        <w:t>Территория СЭЗ составляет более 4500 га. Включает в себя три ключевых зоны — логистическую и индивидуальную зону, а также транспортно-логи</w:t>
      </w:r>
      <w:r>
        <w:rPr>
          <w:color w:val="000000"/>
          <w:sz w:val="28"/>
          <w:szCs w:val="28"/>
        </w:rPr>
        <w:t>стический комплекс «сухой порт»</w:t>
      </w:r>
      <w:r w:rsidRPr="009A60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A6012">
        <w:rPr>
          <w:color w:val="000000"/>
          <w:sz w:val="28"/>
          <w:szCs w:val="28"/>
        </w:rPr>
        <w:t>Реализация программы «Нұрлы жол» уже обеспечила оптимальную логистическую цепь от Восточного побережья Китая — порта Ляньюньган через сухой порт на границе Казахстана и Китая по системе железнодорожных и автомобильных магистралей через Каспий в Европу. Логистическая цепочка привлекательна для партнеров стран Центральной Азии, Китая, Кавказа, Турции и Европы тем, что связывает контейнерные мультимодальные маршруты Транскаспийского международного </w:t>
      </w:r>
      <w:r w:rsidRPr="009A6012">
        <w:rPr>
          <w:bCs/>
          <w:color w:val="000000"/>
          <w:sz w:val="28"/>
          <w:szCs w:val="28"/>
        </w:rPr>
        <w:t>коридора</w:t>
      </w:r>
      <w:r w:rsidRPr="009A6012">
        <w:rPr>
          <w:b/>
          <w:bCs/>
          <w:color w:val="000000"/>
          <w:sz w:val="28"/>
          <w:szCs w:val="28"/>
        </w:rPr>
        <w:t>.</w:t>
      </w:r>
      <w:r w:rsidRPr="009A6012">
        <w:rPr>
          <w:color w:val="000000"/>
          <w:sz w:val="28"/>
          <w:szCs w:val="28"/>
        </w:rPr>
        <w:t> 75% груза будет проходить по Центральной Азии, 5% - по Каспийскому морю, остальные 25% по Европе.</w:t>
      </w: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</w:rPr>
      </w:pPr>
      <w:r w:rsidRPr="009A6012">
        <w:rPr>
          <w:color w:val="000000"/>
          <w:sz w:val="28"/>
          <w:szCs w:val="28"/>
        </w:rPr>
        <w:t xml:space="preserve">«Накануне наш президент поставил перед министерством конкретные задачи по необходимости развития транспорта, логистики и транзита. Алматинская область — одна из самых перспективных областей для развития этих направлений. Нурсултан Назарбаев ставил задачу, чтобы Казахстан был мостом между Азией и Европой. С тех пор все поставленные задачи уже реализованы. Сегодня мы с гордостью продемонстрировали иностранно-дипломатическому корпусу наши достижения, которые помогут для развития международного сотрудничества», — сказал </w:t>
      </w:r>
      <w:r w:rsidRPr="009A6012">
        <w:rPr>
          <w:b/>
          <w:color w:val="000000"/>
          <w:sz w:val="28"/>
          <w:szCs w:val="28"/>
        </w:rPr>
        <w:t>министр иностранных дел Кайрат Абдрахманов.</w:t>
      </w: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A6012">
        <w:rPr>
          <w:color w:val="000000"/>
          <w:sz w:val="28"/>
          <w:szCs w:val="28"/>
        </w:rPr>
        <w:t>В прошлом году транзит грузов через Казахстан вырос на 17% и составил почти 17 миллионов тонн. Начиная с 2015 года доля транспортной отрасли в ВВП составляет в среднем не ниже 8%. Благодаря успешному запуску проекта МЦПС «Хоргос» в настоящее время изучается создание аналогичного МЦПС на казахстанско-узбекской границе.</w:t>
      </w: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</w:rPr>
      </w:pPr>
      <w:r w:rsidRPr="009A6012">
        <w:rPr>
          <w:color w:val="000000"/>
          <w:sz w:val="28"/>
          <w:szCs w:val="28"/>
        </w:rPr>
        <w:t xml:space="preserve">«Это уже второй тур, организованный МИД РК. В прошлом году было подписано соглашение о вхождении прямых инвестиций таких компаний, как Cosco Shipping. Это один из основных мировых операторов морского транспорта, которые зашли с инвестициями в сухой порт. На сегодня мы также заканчиваем переговоры с одним из самых больших международных операторов, которые уже приняли решения по инвестициям и вхождению в управляющие компании СЭЗ „Хоргос — Восточные ворота“. Это очень большой плюс для организации правильной работы», — </w:t>
      </w:r>
      <w:r w:rsidRPr="009A6012">
        <w:rPr>
          <w:b/>
          <w:color w:val="000000"/>
          <w:sz w:val="28"/>
          <w:szCs w:val="28"/>
        </w:rPr>
        <w:t>отметил в своей речи председатель правления АО «НК «Қазақстан темір жолы» Канат Алпысбаев.</w:t>
      </w: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A6012">
        <w:rPr>
          <w:color w:val="000000"/>
          <w:sz w:val="28"/>
          <w:szCs w:val="28"/>
        </w:rPr>
        <w:t xml:space="preserve">Развитие приграничного партнерства на «Хоргос» является одним из ключевых проектов в казахстанско-китайских отношениях. «Мои коллеги считают, что это очень перспективный проект и для Европы. Поскольку это самый близкий сухопутный маршрут из Китая в Европу. Через море это занимало бы больше времени. Грузовые товары доставляются из Китая в Европу по этому маршруту за 15 дней, в то же время по морю это заняло бы от 4 до 6 недель», — </w:t>
      </w:r>
      <w:r w:rsidRPr="009A6012">
        <w:rPr>
          <w:b/>
          <w:color w:val="000000"/>
          <w:sz w:val="28"/>
          <w:szCs w:val="28"/>
        </w:rPr>
        <w:t>рассказал посол Китая в Казахстане Чжан Сяо</w:t>
      </w:r>
      <w:r w:rsidRPr="009A6012">
        <w:rPr>
          <w:color w:val="000000"/>
          <w:sz w:val="28"/>
          <w:szCs w:val="28"/>
        </w:rPr>
        <w:t>.</w:t>
      </w:r>
    </w:p>
    <w:p w:rsidR="00C325C9" w:rsidRPr="009A6012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9A6012">
        <w:rPr>
          <w:color w:val="000000"/>
          <w:sz w:val="28"/>
          <w:szCs w:val="28"/>
        </w:rPr>
        <w:t>Помимо железнодорожных путей, груз от станции Алтынкол по Казахстану будут доставлять и на автомобилях. «Это очень перспективный проект не только для Казахстана, Китая, России и стран Средней Азии, но и мировой торговли. Он имеет глобальный масштаб, и мы занимаемся финансированием строительства международного транспортного </w:t>
      </w:r>
      <w:r w:rsidRPr="009A6012">
        <w:rPr>
          <w:b/>
          <w:bCs/>
          <w:color w:val="000000"/>
          <w:sz w:val="28"/>
          <w:szCs w:val="28"/>
        </w:rPr>
        <w:t>коридора</w:t>
      </w:r>
      <w:r w:rsidRPr="009A6012">
        <w:rPr>
          <w:color w:val="000000"/>
          <w:sz w:val="28"/>
          <w:szCs w:val="28"/>
        </w:rPr>
        <w:t xml:space="preserve"> „Западная Европа — Западный Китай“, в частности, трассы Хоргос — Алматы — Шымкент — Кызылорда. Это порядка 3 млрд долларов», — </w:t>
      </w:r>
      <w:r w:rsidRPr="009A6012">
        <w:rPr>
          <w:b/>
          <w:color w:val="000000"/>
          <w:sz w:val="28"/>
          <w:szCs w:val="28"/>
        </w:rPr>
        <w:t>сообщил постоянный представитель Всемирного банка в Казахстане Ато Браун.</w:t>
      </w:r>
    </w:p>
    <w:p w:rsidR="00C325C9" w:rsidRPr="00C325C9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325C9">
        <w:rPr>
          <w:color w:val="000000"/>
          <w:sz w:val="28"/>
          <w:szCs w:val="28"/>
        </w:rPr>
        <w:t>Для предпринимателей создаются выгодные условия. Доставляемое сырье, материалы, запчасти, компоненты, полуфабрикаты для производства готовой продукции освобождаются от оплаты таможенных платежей. Готовая продукция при продаже в странах </w:t>
      </w:r>
      <w:r w:rsidRPr="00C325C9">
        <w:rPr>
          <w:bCs/>
          <w:color w:val="000000"/>
          <w:sz w:val="28"/>
          <w:szCs w:val="28"/>
        </w:rPr>
        <w:t>ЕАЭС</w:t>
      </w:r>
      <w:r w:rsidRPr="00C325C9">
        <w:rPr>
          <w:color w:val="000000"/>
          <w:sz w:val="28"/>
          <w:szCs w:val="28"/>
        </w:rPr>
        <w:t> не будет облагаться пошлинами в случае заключения специального инвестиционного контракта с МИР РК. Если в составе готовой продукции будет импортная составляющая, то при реализации в странах </w:t>
      </w:r>
      <w:r w:rsidRPr="00C325C9">
        <w:rPr>
          <w:bCs/>
          <w:color w:val="000000"/>
          <w:sz w:val="28"/>
          <w:szCs w:val="28"/>
        </w:rPr>
        <w:t>ЕАЭС</w:t>
      </w:r>
      <w:r w:rsidRPr="00C325C9">
        <w:rPr>
          <w:color w:val="000000"/>
          <w:sz w:val="28"/>
          <w:szCs w:val="28"/>
        </w:rPr>
        <w:t> участники СЭЗ освободятся от уплаты импортной пошлины.</w:t>
      </w:r>
    </w:p>
    <w:p w:rsidR="00C325C9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C325C9" w:rsidRDefault="00C325C9" w:rsidP="00C325C9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C325C9" w:rsidRDefault="00C325C9" w:rsidP="00C325C9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Новый пункт пропуска </w:t>
      </w:r>
      <w:r w:rsidRPr="001C697C"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Нур жолы</w:t>
      </w:r>
      <w:r w:rsidRPr="001C697C">
        <w:rPr>
          <w:rFonts w:cs="Times New Roman"/>
          <w:b/>
          <w:bCs/>
          <w:sz w:val="28"/>
          <w:szCs w:val="28"/>
        </w:rPr>
        <w:t xml:space="preserve">» </w:t>
      </w:r>
      <w:r>
        <w:rPr>
          <w:rFonts w:cs="Times New Roman"/>
          <w:b/>
          <w:bCs/>
          <w:sz w:val="28"/>
          <w:szCs w:val="28"/>
        </w:rPr>
        <w:t xml:space="preserve">открыт на границе с Китаем </w:t>
      </w:r>
      <w:r w:rsidRPr="001C697C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C325C9" w:rsidRDefault="00C325C9" w:rsidP="00C325C9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границе Казахстана и Китая 27 сентября открыт контрольно-пропускной пункт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Нур Жолы</w:t>
      </w:r>
      <w:r w:rsidRPr="001C697C">
        <w:rPr>
          <w:rFonts w:cs="Times New Roman"/>
          <w:sz w:val="28"/>
          <w:szCs w:val="28"/>
        </w:rPr>
        <w:t>» (</w:t>
      </w:r>
      <w:r>
        <w:rPr>
          <w:rFonts w:cs="Times New Roman"/>
          <w:sz w:val="28"/>
          <w:szCs w:val="28"/>
        </w:rPr>
        <w:t xml:space="preserve">РК) -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Хоргос</w:t>
      </w:r>
      <w:r w:rsidRPr="001C697C">
        <w:rPr>
          <w:rFonts w:cs="Times New Roman"/>
          <w:sz w:val="28"/>
          <w:szCs w:val="28"/>
        </w:rPr>
        <w:t>» (</w:t>
      </w:r>
      <w:r>
        <w:rPr>
          <w:rFonts w:cs="Times New Roman"/>
          <w:sz w:val="28"/>
          <w:szCs w:val="28"/>
        </w:rPr>
        <w:t>КНР)</w:t>
      </w:r>
      <w:r w:rsidRPr="001C697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 впервые в истории страны пункт пропуска построен на средства частного инвестора по модели государственно-частного партнерства и является самым крупным в Средней Азии.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его строительстве использовались передовые технологии и инновационные решения. В процессе проектирования казахстанские эксперты обменялись опытом инфраструктурных решений пунктов пропуска стран ЕАЭС, Турции, Польши, Финляндии, Мексики и США.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этого, в процессе проектирования учитывались нормативные требования ЕАЭС, мировой опыт и инфраструктурные решения, благодаря чему время прохождения границы будет занимать порядка 30 минут.</w:t>
      </w:r>
    </w:p>
    <w:p w:rsidR="00C325C9" w:rsidRDefault="00C325C9" w:rsidP="00C325C9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отметил вице-министр финансов РК К. Баедилов, новый пункт пропуска является главными воротами коридора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Западная Европа - Западный Китай</w:t>
      </w:r>
      <w:r w:rsidRPr="001C697C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и имеет самое современное техническое обеспечение.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Сегодня исторический день для таможенных органов Казахстана. Мы открываем новый автомобильный пункт пропуска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Нур жолы</w:t>
      </w:r>
      <w:r w:rsidRPr="001C697C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 xml:space="preserve">расположенный в международном транзитном коридоре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Западная Европа - Западный Китай</w:t>
      </w:r>
      <w:r w:rsidRPr="001C697C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>который является не только воротами Казахстана, но и общего Евразийского экономического пространства</w:t>
      </w:r>
      <w:r w:rsidRPr="001C697C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b/>
          <w:bCs/>
          <w:sz w:val="28"/>
          <w:szCs w:val="28"/>
        </w:rPr>
        <w:t>сказал председатель КГД МФ РК А.Тенгебаев.</w:t>
      </w:r>
    </w:p>
    <w:p w:rsidR="00C325C9" w:rsidRDefault="00C325C9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Впервые казахстанскими специалистами применена автоматическая система управления логистикой в пункте пропуска, которая интегрирована с информационной системой таможенных органов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АСТАНА-1</w:t>
      </w:r>
      <w:r w:rsidRPr="001C697C">
        <w:rPr>
          <w:rFonts w:cs="Times New Roman"/>
          <w:sz w:val="28"/>
          <w:szCs w:val="28"/>
        </w:rPr>
        <w:t xml:space="preserve">». </w:t>
      </w:r>
      <w:r>
        <w:rPr>
          <w:rFonts w:cs="Times New Roman"/>
          <w:sz w:val="28"/>
          <w:szCs w:val="28"/>
        </w:rPr>
        <w:t xml:space="preserve">При реализации автоматического технологического решения, с целью минимизации коррупционных рисков, максимально уменьшен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человеческий фактор</w:t>
      </w:r>
      <w:r w:rsidRPr="001C697C">
        <w:rPr>
          <w:rFonts w:cs="Times New Roman"/>
          <w:sz w:val="28"/>
          <w:szCs w:val="28"/>
        </w:rPr>
        <w:t>».</w:t>
      </w:r>
      <w:r>
        <w:rPr>
          <w:rFonts w:cs="Times New Roman"/>
          <w:sz w:val="28"/>
          <w:szCs w:val="28"/>
        </w:rPr>
        <w:t xml:space="preserve"> В связи с вводом в эксплуатацию таможенного поста </w:t>
      </w:r>
      <w:r w:rsidRPr="001C697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Нур жолы</w:t>
      </w:r>
      <w:r w:rsidRPr="001C697C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пропускная способность увеличится в 30 раз, а увеличение пассажирского потока в 18 раз.</w:t>
      </w:r>
    </w:p>
    <w:p w:rsidR="00D24311" w:rsidRDefault="00D24311" w:rsidP="00C325C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B62A00" w:rsidRPr="006B32D4" w:rsidRDefault="00B62A00" w:rsidP="00B62A00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4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04" w:rsidRDefault="00EB3504">
      <w:r>
        <w:separator/>
      </w:r>
    </w:p>
  </w:endnote>
  <w:endnote w:type="continuationSeparator" w:id="0">
    <w:p w:rsidR="00EB3504" w:rsidRDefault="00E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35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35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04" w:rsidRDefault="00EB3504">
      <w:r>
        <w:separator/>
      </w:r>
    </w:p>
  </w:footnote>
  <w:footnote w:type="continuationSeparator" w:id="0">
    <w:p w:rsidR="00EB3504" w:rsidRDefault="00EB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EB3504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37C0"/>
    <w:rsid w:val="000650D8"/>
    <w:rsid w:val="000B128B"/>
    <w:rsid w:val="000B53B6"/>
    <w:rsid w:val="000B6C9B"/>
    <w:rsid w:val="000C69D4"/>
    <w:rsid w:val="00117093"/>
    <w:rsid w:val="001242E3"/>
    <w:rsid w:val="00134470"/>
    <w:rsid w:val="001348C3"/>
    <w:rsid w:val="001527A9"/>
    <w:rsid w:val="00174798"/>
    <w:rsid w:val="00180B8E"/>
    <w:rsid w:val="001826E9"/>
    <w:rsid w:val="001B5EB8"/>
    <w:rsid w:val="001F01DF"/>
    <w:rsid w:val="00241248"/>
    <w:rsid w:val="00255FFF"/>
    <w:rsid w:val="0029424A"/>
    <w:rsid w:val="002A127A"/>
    <w:rsid w:val="002A4D91"/>
    <w:rsid w:val="002B2E26"/>
    <w:rsid w:val="002C40C4"/>
    <w:rsid w:val="002C600A"/>
    <w:rsid w:val="002C6FE6"/>
    <w:rsid w:val="002D5405"/>
    <w:rsid w:val="002D714C"/>
    <w:rsid w:val="002F69A7"/>
    <w:rsid w:val="00321957"/>
    <w:rsid w:val="003362CF"/>
    <w:rsid w:val="00336721"/>
    <w:rsid w:val="00343916"/>
    <w:rsid w:val="00344772"/>
    <w:rsid w:val="00347A18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27492"/>
    <w:rsid w:val="00535420"/>
    <w:rsid w:val="0055130F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7A89"/>
    <w:rsid w:val="00670009"/>
    <w:rsid w:val="0067592F"/>
    <w:rsid w:val="006A08F8"/>
    <w:rsid w:val="006A30AB"/>
    <w:rsid w:val="006B15F2"/>
    <w:rsid w:val="006B690D"/>
    <w:rsid w:val="006D0E60"/>
    <w:rsid w:val="006E00AA"/>
    <w:rsid w:val="006E40B1"/>
    <w:rsid w:val="006F2B4B"/>
    <w:rsid w:val="006F2D73"/>
    <w:rsid w:val="006F3AE8"/>
    <w:rsid w:val="006F403B"/>
    <w:rsid w:val="00723449"/>
    <w:rsid w:val="00730917"/>
    <w:rsid w:val="00731546"/>
    <w:rsid w:val="0075601C"/>
    <w:rsid w:val="0075776E"/>
    <w:rsid w:val="007A6F0B"/>
    <w:rsid w:val="007B0D38"/>
    <w:rsid w:val="007B65EE"/>
    <w:rsid w:val="007D46A6"/>
    <w:rsid w:val="007F386C"/>
    <w:rsid w:val="007F72DC"/>
    <w:rsid w:val="00822782"/>
    <w:rsid w:val="008277B0"/>
    <w:rsid w:val="00843A9F"/>
    <w:rsid w:val="00852E4B"/>
    <w:rsid w:val="00852F67"/>
    <w:rsid w:val="008707C5"/>
    <w:rsid w:val="0087710D"/>
    <w:rsid w:val="00881E4D"/>
    <w:rsid w:val="00890ECD"/>
    <w:rsid w:val="00891246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3EDF"/>
    <w:rsid w:val="00965933"/>
    <w:rsid w:val="00975602"/>
    <w:rsid w:val="00987799"/>
    <w:rsid w:val="009A01A2"/>
    <w:rsid w:val="009A0BDF"/>
    <w:rsid w:val="009A14C5"/>
    <w:rsid w:val="009A2F46"/>
    <w:rsid w:val="009C1811"/>
    <w:rsid w:val="009F0517"/>
    <w:rsid w:val="00A01800"/>
    <w:rsid w:val="00A0370B"/>
    <w:rsid w:val="00A11307"/>
    <w:rsid w:val="00A2083D"/>
    <w:rsid w:val="00A23884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4CC1"/>
    <w:rsid w:val="00AF3D0E"/>
    <w:rsid w:val="00AF3F7A"/>
    <w:rsid w:val="00AF748E"/>
    <w:rsid w:val="00B17AC1"/>
    <w:rsid w:val="00B21633"/>
    <w:rsid w:val="00B224F9"/>
    <w:rsid w:val="00B51C05"/>
    <w:rsid w:val="00B55249"/>
    <w:rsid w:val="00B62A00"/>
    <w:rsid w:val="00B70E65"/>
    <w:rsid w:val="00B82D75"/>
    <w:rsid w:val="00B937D3"/>
    <w:rsid w:val="00BA67C2"/>
    <w:rsid w:val="00BC49DB"/>
    <w:rsid w:val="00BC7FED"/>
    <w:rsid w:val="00BD1EFC"/>
    <w:rsid w:val="00C023E2"/>
    <w:rsid w:val="00C26F9C"/>
    <w:rsid w:val="00C325C9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F46BF"/>
    <w:rsid w:val="00CF6F60"/>
    <w:rsid w:val="00D018B2"/>
    <w:rsid w:val="00D0677A"/>
    <w:rsid w:val="00D24311"/>
    <w:rsid w:val="00D64192"/>
    <w:rsid w:val="00D71F6A"/>
    <w:rsid w:val="00D76334"/>
    <w:rsid w:val="00D950B3"/>
    <w:rsid w:val="00DA153D"/>
    <w:rsid w:val="00DA4E8B"/>
    <w:rsid w:val="00DA5E2C"/>
    <w:rsid w:val="00DB3A2A"/>
    <w:rsid w:val="00DB6133"/>
    <w:rsid w:val="00DD7563"/>
    <w:rsid w:val="00DE70BF"/>
    <w:rsid w:val="00E1129D"/>
    <w:rsid w:val="00E14618"/>
    <w:rsid w:val="00E630AD"/>
    <w:rsid w:val="00E64940"/>
    <w:rsid w:val="00E7677E"/>
    <w:rsid w:val="00E8407B"/>
    <w:rsid w:val="00E84944"/>
    <w:rsid w:val="00E90A63"/>
    <w:rsid w:val="00E95F01"/>
    <w:rsid w:val="00EA7687"/>
    <w:rsid w:val="00EB3504"/>
    <w:rsid w:val="00EB478E"/>
    <w:rsid w:val="00EE315B"/>
    <w:rsid w:val="00EF4F2A"/>
    <w:rsid w:val="00EF57A3"/>
    <w:rsid w:val="00F114C0"/>
    <w:rsid w:val="00F12920"/>
    <w:rsid w:val="00F21842"/>
    <w:rsid w:val="00F358CF"/>
    <w:rsid w:val="00F40A32"/>
    <w:rsid w:val="00F40CDF"/>
    <w:rsid w:val="00F51DEB"/>
    <w:rsid w:val="00F635EF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33B8A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E4F6-E102-4CB8-AAC4-FCC26501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2</cp:revision>
  <dcterms:created xsi:type="dcterms:W3CDTF">2018-10-21T12:06:00Z</dcterms:created>
  <dcterms:modified xsi:type="dcterms:W3CDTF">2018-10-21T12:06:00Z</dcterms:modified>
</cp:coreProperties>
</file>