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3D686D">
        <w:rPr>
          <w:rFonts w:cs="Times New Roman"/>
          <w:b/>
          <w:sz w:val="28"/>
          <w:szCs w:val="28"/>
        </w:rPr>
        <w:t xml:space="preserve">31 октября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4C401D" w:rsidRPr="00AA5DAB" w:rsidRDefault="004C401D" w:rsidP="004C401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E96" w:rsidRDefault="00525E96" w:rsidP="00525E96">
      <w:pPr>
        <w:jc w:val="both"/>
        <w:rPr>
          <w:rFonts w:cs="Times New Roman"/>
          <w:bCs/>
          <w:sz w:val="28"/>
          <w:szCs w:val="28"/>
        </w:rPr>
      </w:pPr>
      <w:r w:rsidRPr="00073824">
        <w:rPr>
          <w:rFonts w:cs="Times New Roman"/>
          <w:b/>
          <w:bCs/>
          <w:sz w:val="28"/>
          <w:szCs w:val="28"/>
        </w:rPr>
        <w:t>Дальний Восток может стать новым центром для российского бизнеса взамен Европы и других зарубежных юрисдикций - участники Восточного экономического форума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73824">
        <w:rPr>
          <w:rFonts w:cs="Times New Roman"/>
          <w:b/>
          <w:bCs/>
          <w:sz w:val="28"/>
          <w:szCs w:val="28"/>
        </w:rPr>
        <w:t>#</w:t>
      </w:r>
      <w:r w:rsidRPr="00073824">
        <w:rPr>
          <w:rFonts w:cs="Times New Roman"/>
          <w:bCs/>
          <w:sz w:val="28"/>
          <w:szCs w:val="28"/>
        </w:rPr>
        <w:t>без_изменений</w:t>
      </w:r>
    </w:p>
    <w:p w:rsidR="00525E96" w:rsidRPr="00073824" w:rsidRDefault="00525E96" w:rsidP="00525E96">
      <w:pPr>
        <w:jc w:val="both"/>
        <w:rPr>
          <w:rFonts w:cs="Times New Roman"/>
          <w:b/>
          <w:bCs/>
          <w:sz w:val="28"/>
          <w:szCs w:val="28"/>
        </w:rPr>
      </w:pPr>
    </w:p>
    <w:p w:rsidR="00525E96" w:rsidRPr="00073824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73824">
        <w:rPr>
          <w:color w:val="000000"/>
          <w:sz w:val="28"/>
          <w:szCs w:val="28"/>
        </w:rPr>
        <w:t>Дальний Восток становится центром сотрудничества с Азиатско-Тихоокеанским регионом: механизмы поощрения инвестиций, которые здесь действуют, обязаны дать результат, уверен президент </w:t>
      </w:r>
      <w:r w:rsidRPr="00073824">
        <w:rPr>
          <w:bCs/>
          <w:color w:val="000000"/>
          <w:sz w:val="28"/>
          <w:szCs w:val="28"/>
        </w:rPr>
        <w:t>РСПП</w:t>
      </w:r>
      <w:r w:rsidRPr="00073824">
        <w:rPr>
          <w:color w:val="000000"/>
          <w:sz w:val="28"/>
          <w:szCs w:val="28"/>
        </w:rPr>
        <w:t> Александр Шохин. На долю стран АТР сейчас приходится около 45% мировой торговли, и доля региона будет расти и скоро превысит 50%, подчеркнул замминистра экономического развития Сергей Горьков. По данным Минэкономразвития, общий объем торговли России со странами АТР в 2017 году составил $104 млрд, из них более $50 млрд приходилось на Дальний Восток.</w:t>
      </w:r>
    </w:p>
    <w:p w:rsidR="00525E96" w:rsidRPr="00073824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73824">
        <w:rPr>
          <w:color w:val="000000"/>
          <w:sz w:val="28"/>
          <w:szCs w:val="28"/>
        </w:rPr>
        <w:t>Дальний Восток уже находится в лидерах среди российских регионов по иностранным инвестициям. По итогам 2017 года на регион приходится более 30% всех иностранных инвестиций в Россию, при этом 70% проектов являются экспортно ориентированными, заметил первый замминистра по развитию Дальнего Востока Сергей Тырцев.</w:t>
      </w:r>
    </w:p>
    <w:p w:rsidR="00525E96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73824">
        <w:rPr>
          <w:color w:val="000000"/>
          <w:sz w:val="28"/>
          <w:szCs w:val="28"/>
        </w:rPr>
        <w:t>Многие </w:t>
      </w:r>
      <w:r w:rsidRPr="00073824">
        <w:rPr>
          <w:bCs/>
          <w:color w:val="000000"/>
          <w:sz w:val="28"/>
          <w:szCs w:val="28"/>
        </w:rPr>
        <w:t>бизнесмены</w:t>
      </w:r>
      <w:r w:rsidRPr="00073824">
        <w:rPr>
          <w:color w:val="000000"/>
          <w:sz w:val="28"/>
          <w:szCs w:val="28"/>
        </w:rPr>
        <w:t> уверены в перспективах стран АТР для своего </w:t>
      </w:r>
      <w:r w:rsidRPr="00073824">
        <w:rPr>
          <w:bCs/>
          <w:color w:val="000000"/>
          <w:sz w:val="28"/>
          <w:szCs w:val="28"/>
        </w:rPr>
        <w:t>бизнеса.</w:t>
      </w:r>
      <w:r w:rsidRPr="00073824">
        <w:rPr>
          <w:color w:val="000000"/>
          <w:sz w:val="28"/>
          <w:szCs w:val="28"/>
        </w:rPr>
        <w:t xml:space="preserve"> Например, группа компаний «Русагро», один из крупнейших агрохолдингов России, считает Китай будущим главным рынком для сбыта. «Мы надеемся, что рано или поздно главным рынком для нашей компании будет не Российская Федерация, а Китай. Планируем, что со временем в Китай мы будем продавать в два раза больше продукции, чем в России», — сказал гендиректор «Русагро» Максим Басов в кулуарах форума. </w:t>
      </w:r>
    </w:p>
    <w:p w:rsidR="00525E96" w:rsidRPr="00073824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73824">
        <w:rPr>
          <w:color w:val="000000"/>
          <w:sz w:val="28"/>
          <w:szCs w:val="28"/>
        </w:rPr>
        <w:t>ногие </w:t>
      </w:r>
      <w:r w:rsidRPr="00073824">
        <w:rPr>
          <w:bCs/>
          <w:color w:val="000000"/>
          <w:sz w:val="28"/>
          <w:szCs w:val="28"/>
        </w:rPr>
        <w:t>бизнесмены</w:t>
      </w:r>
      <w:r w:rsidRPr="00073824">
        <w:rPr>
          <w:color w:val="000000"/>
          <w:sz w:val="28"/>
          <w:szCs w:val="28"/>
        </w:rPr>
        <w:t> отмечали специфику ведения </w:t>
      </w:r>
      <w:r w:rsidRPr="00073824">
        <w:rPr>
          <w:bCs/>
          <w:color w:val="000000"/>
          <w:sz w:val="28"/>
          <w:szCs w:val="28"/>
        </w:rPr>
        <w:t>бизнеса</w:t>
      </w:r>
      <w:r w:rsidRPr="00073824">
        <w:rPr>
          <w:color w:val="000000"/>
          <w:sz w:val="28"/>
          <w:szCs w:val="28"/>
        </w:rPr>
        <w:t> в странах АТР. Чтобы проникать на эти рынки, нужно знать культуру и менталитет, отметил председатель совета директоров группы компаний «ЕСН» Григорий Березкин.</w:t>
      </w:r>
    </w:p>
    <w:p w:rsidR="00525E96" w:rsidRPr="00073824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73824">
        <w:rPr>
          <w:color w:val="000000"/>
          <w:sz w:val="28"/>
          <w:szCs w:val="28"/>
        </w:rPr>
        <w:lastRenderedPageBreak/>
        <w:t>Список Белоусова</w:t>
      </w:r>
      <w:r>
        <w:rPr>
          <w:color w:val="000000"/>
          <w:sz w:val="28"/>
          <w:szCs w:val="28"/>
        </w:rPr>
        <w:t xml:space="preserve">. </w:t>
      </w:r>
      <w:r w:rsidRPr="00073824">
        <w:rPr>
          <w:color w:val="000000"/>
          <w:sz w:val="28"/>
          <w:szCs w:val="28"/>
        </w:rPr>
        <w:t>Одной из горячих тем форума является продолжение истории с финансированием крупных инфраструктурных проектов по списку помощника президента Андрея Белоусова. </w:t>
      </w:r>
      <w:r w:rsidRPr="00073824">
        <w:rPr>
          <w:bCs/>
          <w:color w:val="000000"/>
          <w:sz w:val="28"/>
          <w:szCs w:val="28"/>
        </w:rPr>
        <w:t>Бизнес</w:t>
      </w:r>
      <w:r w:rsidRPr="00073824">
        <w:rPr>
          <w:color w:val="000000"/>
          <w:sz w:val="28"/>
          <w:szCs w:val="28"/>
        </w:rPr>
        <w:t> пока не афиширует свой интерес к конкретным проектам, но участвующие в ВЭФ представители крупных компаний не отрицают возможность расширения списка Белоусова, в котором изначально были упомянуты 14 компаний металлургического и химического секторов.</w:t>
      </w:r>
    </w:p>
    <w:p w:rsidR="00525E96" w:rsidRPr="00073824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73824">
        <w:rPr>
          <w:color w:val="000000"/>
          <w:sz w:val="28"/>
          <w:szCs w:val="28"/>
        </w:rPr>
        <w:t>Предварительный список инвестпроектов должен быть готов до конца ноября, уточнил Шохин в кулуарах ВЭФ. По его словам, </w:t>
      </w:r>
      <w:r w:rsidRPr="00073824">
        <w:rPr>
          <w:bCs/>
          <w:color w:val="000000"/>
          <w:sz w:val="28"/>
          <w:szCs w:val="28"/>
        </w:rPr>
        <w:t>РСПП</w:t>
      </w:r>
      <w:r w:rsidRPr="00073824">
        <w:rPr>
          <w:color w:val="000000"/>
          <w:sz w:val="28"/>
          <w:szCs w:val="28"/>
        </w:rPr>
        <w:t> предлагает не ограничивать круг компаний, которые могут войти в число участников инвестиционных проектов по «списку Белоусова». Среди них могут оказаться и нефтяные компании, поставщики цемента и другие представители </w:t>
      </w:r>
      <w:r w:rsidRPr="00073824">
        <w:rPr>
          <w:bCs/>
          <w:color w:val="000000"/>
          <w:sz w:val="28"/>
          <w:szCs w:val="28"/>
        </w:rPr>
        <w:t>бизнеса,</w:t>
      </w:r>
      <w:r w:rsidRPr="00073824">
        <w:rPr>
          <w:color w:val="000000"/>
          <w:sz w:val="28"/>
          <w:szCs w:val="28"/>
        </w:rPr>
        <w:t> которым будет интересны различные формы господдержки, уточнил Шохин. Список интересующих крупные компании инвестпроектов был представлен правительству на прошлой неделе, стоимость пакета инициатив оценивается в 6 трлн рублей. В обмен правительство готово рассмотреть различные формы господдержки, в том числе субсидирование.</w:t>
      </w:r>
    </w:p>
    <w:p w:rsidR="00525E96" w:rsidRPr="00073824" w:rsidRDefault="00525E96" w:rsidP="00525E96">
      <w:pPr>
        <w:jc w:val="both"/>
        <w:rPr>
          <w:rFonts w:cs="Times New Roman"/>
          <w:sz w:val="28"/>
          <w:szCs w:val="28"/>
        </w:rPr>
      </w:pPr>
    </w:p>
    <w:p w:rsidR="00525E96" w:rsidRPr="007D47B2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B050"/>
          <w:sz w:val="28"/>
          <w:szCs w:val="28"/>
        </w:rPr>
      </w:pPr>
    </w:p>
    <w:p w:rsidR="00525E96" w:rsidRPr="00D14EE3" w:rsidRDefault="00525E96" w:rsidP="00525E96">
      <w:pPr>
        <w:shd w:val="clear" w:color="auto" w:fill="FFFFFF"/>
        <w:jc w:val="both"/>
        <w:rPr>
          <w:rFonts w:cs="Times New Roman"/>
          <w:bCs/>
          <w:sz w:val="28"/>
          <w:szCs w:val="28"/>
        </w:rPr>
      </w:pPr>
      <w:r w:rsidRPr="00550299">
        <w:rPr>
          <w:rFonts w:cs="Times New Roman"/>
          <w:b/>
          <w:bCs/>
          <w:sz w:val="28"/>
          <w:szCs w:val="28"/>
        </w:rPr>
        <w:t>Связка «рыбаки - судостроители» сможет сыграть свою роль в выполнении положений указа президента о росте инвестиций - Александр Шохин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D14EE3">
        <w:rPr>
          <w:rFonts w:cs="Times New Roman"/>
          <w:bCs/>
          <w:sz w:val="28"/>
          <w:szCs w:val="28"/>
        </w:rPr>
        <w:t>#рост</w:t>
      </w:r>
    </w:p>
    <w:p w:rsidR="00525E96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525E96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 w:rsidRPr="00D14EE3">
        <w:rPr>
          <w:color w:val="000000"/>
          <w:sz w:val="28"/>
          <w:szCs w:val="28"/>
        </w:rPr>
        <w:t>По оценке главы </w:t>
      </w:r>
      <w:r w:rsidRPr="00D14EE3">
        <w:rPr>
          <w:bCs/>
          <w:color w:val="000000"/>
          <w:sz w:val="28"/>
          <w:szCs w:val="28"/>
        </w:rPr>
        <w:t>РСПП</w:t>
      </w:r>
      <w:r>
        <w:rPr>
          <w:bCs/>
          <w:color w:val="000000"/>
          <w:sz w:val="28"/>
          <w:szCs w:val="28"/>
        </w:rPr>
        <w:t xml:space="preserve"> А.Шохина</w:t>
      </w:r>
      <w:r w:rsidRPr="00D14EE3">
        <w:rPr>
          <w:bCs/>
          <w:color w:val="000000"/>
          <w:sz w:val="28"/>
          <w:szCs w:val="28"/>
        </w:rPr>
        <w:t>,</w:t>
      </w:r>
      <w:r w:rsidRPr="00D14EE3">
        <w:rPr>
          <w:color w:val="000000"/>
          <w:sz w:val="28"/>
          <w:szCs w:val="28"/>
        </w:rPr>
        <w:t> связка «рыбаки - судостроители» сможет сыграть свою роль в выполнении положений указа президента о росте инвестиций</w:t>
      </w:r>
      <w:r>
        <w:rPr>
          <w:color w:val="000000"/>
          <w:sz w:val="28"/>
          <w:szCs w:val="28"/>
        </w:rPr>
        <w:t xml:space="preserve">. </w:t>
      </w:r>
      <w:r w:rsidRPr="00D14EE3">
        <w:rPr>
          <w:color w:val="000000"/>
          <w:sz w:val="28"/>
          <w:szCs w:val="28"/>
        </w:rPr>
        <w:t>Тренд на отказ от "исторического принципа" в российском рыболовстве назвали ключевой причиной критической ситуации с загрузкой дальневосточных верфей и смежных судостроительных производств участники Координационного совета реготделений </w:t>
      </w:r>
      <w:r w:rsidRPr="00D14EE3">
        <w:rPr>
          <w:bCs/>
          <w:color w:val="000000"/>
          <w:sz w:val="28"/>
          <w:szCs w:val="28"/>
        </w:rPr>
        <w:t>РСПП</w:t>
      </w:r>
      <w:r w:rsidRPr="00D14EE3">
        <w:rPr>
          <w:color w:val="000000"/>
          <w:sz w:val="28"/>
          <w:szCs w:val="28"/>
        </w:rPr>
        <w:t> в ДФО, который был организован вице-президентом </w:t>
      </w:r>
      <w:r w:rsidRPr="00D14EE3">
        <w:rPr>
          <w:bCs/>
          <w:color w:val="000000"/>
          <w:sz w:val="28"/>
          <w:szCs w:val="28"/>
        </w:rPr>
        <w:t>РСПП</w:t>
      </w:r>
      <w:r>
        <w:rPr>
          <w:bCs/>
          <w:color w:val="000000"/>
          <w:sz w:val="28"/>
          <w:szCs w:val="28"/>
        </w:rPr>
        <w:t xml:space="preserve"> </w:t>
      </w:r>
      <w:r w:rsidRPr="00D14EE3">
        <w:rPr>
          <w:color w:val="000000"/>
          <w:sz w:val="28"/>
          <w:szCs w:val="28"/>
        </w:rPr>
        <w:t>Германом Зверевым и прошел в Хабаровске 13 сентября</w:t>
      </w:r>
      <w:r>
        <w:rPr>
          <w:color w:val="000000"/>
          <w:sz w:val="28"/>
          <w:szCs w:val="28"/>
        </w:rPr>
        <w:t xml:space="preserve"> т.г.</w:t>
      </w:r>
      <w:r w:rsidRPr="00D14EE3">
        <w:rPr>
          <w:color w:val="000000"/>
          <w:sz w:val="28"/>
          <w:szCs w:val="28"/>
        </w:rPr>
        <w:t xml:space="preserve"> </w:t>
      </w:r>
    </w:p>
    <w:p w:rsidR="00525E96" w:rsidRPr="00D14EE3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РСПП </w:t>
      </w:r>
      <w:r w:rsidRPr="00D14EE3">
        <w:rPr>
          <w:color w:val="000000"/>
          <w:sz w:val="28"/>
          <w:szCs w:val="28"/>
        </w:rPr>
        <w:t>рекомендовал отраслевым сообществам рассматривать ситуацию не только как повод для прогнозирования рисков для отдельных сегментов экономики, но и как своеобразное "окно возможностей", предложив с помощью </w:t>
      </w:r>
      <w:r w:rsidRPr="00D14EE3">
        <w:rPr>
          <w:bCs/>
          <w:color w:val="000000"/>
          <w:sz w:val="28"/>
          <w:szCs w:val="28"/>
        </w:rPr>
        <w:t>РСПП</w:t>
      </w:r>
      <w:r w:rsidRPr="00D14EE3">
        <w:rPr>
          <w:color w:val="000000"/>
          <w:sz w:val="28"/>
          <w:szCs w:val="28"/>
        </w:rPr>
        <w:t> обосновать в правительстве РФ ту положительную роль, которую защита инвестиционных проектов в области судостроения от изменений государством регуляторных и фискальных условий сможет сыграть в выполнении положений указа президента РФ от 7 мая 2018 года о росте инвестиций в российской экономике.</w:t>
      </w:r>
    </w:p>
    <w:p w:rsidR="00525E96" w:rsidRPr="00D14EE3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 Шохин </w:t>
      </w:r>
      <w:r w:rsidRPr="00D14EE3">
        <w:rPr>
          <w:color w:val="000000"/>
          <w:sz w:val="28"/>
          <w:szCs w:val="28"/>
        </w:rPr>
        <w:t>напомнил, что в настоящее время </w:t>
      </w:r>
      <w:r w:rsidRPr="00D14EE3">
        <w:rPr>
          <w:bCs/>
          <w:color w:val="000000"/>
          <w:sz w:val="28"/>
          <w:szCs w:val="28"/>
        </w:rPr>
        <w:t>РСПП</w:t>
      </w:r>
      <w:r w:rsidRPr="00D14EE3">
        <w:rPr>
          <w:color w:val="000000"/>
          <w:sz w:val="28"/>
          <w:szCs w:val="28"/>
        </w:rPr>
        <w:t> в составе рабочей группы с участием крупных компаний (в том числе и государственных), помощника президента РФ Андрея Белоусова и вице-премьера – министра финансов Антона Силуанова ведет работу по определению критериев, соответствие которым даст инвестору воспользоваться так называемой "стабилизационной оговоркой", то есть получить на определенный срок "иммунитет" от фискальных и регуляторных изменений. Эта оговорка, напомнил Шохин, предусмотрена проектом федерального закона "О защите и поощрении капиталовложений" (подготовлен Минфином).</w:t>
      </w:r>
    </w:p>
    <w:p w:rsidR="00525E96" w:rsidRPr="00D14EE3" w:rsidRDefault="00EC1E8E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25E96" w:rsidRPr="00D14EE3">
        <w:rPr>
          <w:color w:val="000000"/>
          <w:sz w:val="28"/>
          <w:szCs w:val="28"/>
        </w:rPr>
        <w:t>нвестиционный потенциал, необходимый для строительства 30-40 судов на дальневосточных верфях (о таких показателях ранее говорило правительство РФ), составляет порядка 60-70 млрд рублей, что совсем неплохо смотрится на фоне тех 200-300 млрд, которые экспортные несырьевые компании из так называемого "списка Белоусова" согласились инвестировать в утвержденные государством проекты.</w:t>
      </w:r>
    </w:p>
    <w:p w:rsidR="00525E96" w:rsidRPr="00D14EE3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 w:rsidRPr="00D14EE3">
        <w:rPr>
          <w:color w:val="000000"/>
          <w:sz w:val="28"/>
          <w:szCs w:val="28"/>
        </w:rPr>
        <w:t>Шохин предложил дальневосточному Координационному совету подготовить необходимые расчеты и предоставить резолюцию на рассмотрение Правления </w:t>
      </w:r>
      <w:r>
        <w:rPr>
          <w:bCs/>
          <w:color w:val="000000"/>
          <w:sz w:val="28"/>
          <w:szCs w:val="28"/>
        </w:rPr>
        <w:t xml:space="preserve">РСПП. </w:t>
      </w:r>
      <w:r>
        <w:rPr>
          <w:color w:val="000000"/>
          <w:sz w:val="28"/>
          <w:szCs w:val="28"/>
        </w:rPr>
        <w:t> П</w:t>
      </w:r>
      <w:r w:rsidRPr="00D14EE3">
        <w:rPr>
          <w:color w:val="000000"/>
          <w:sz w:val="28"/>
          <w:szCs w:val="28"/>
        </w:rPr>
        <w:t>осле утверждения это межотраслевое предложение станет официальной позицией Союза и будет учтено в выработке критериев для получения инвестором права подписать с государством соглашения о защите инвестиций от регуляторных и фискальных изменений.</w:t>
      </w:r>
    </w:p>
    <w:p w:rsidR="00525E96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 w:rsidRPr="00D14EE3">
        <w:rPr>
          <w:color w:val="000000"/>
          <w:sz w:val="28"/>
          <w:szCs w:val="28"/>
        </w:rPr>
        <w:t>Во многом благода</w:t>
      </w:r>
      <w:r w:rsidR="00EC1E8E">
        <w:rPr>
          <w:color w:val="000000"/>
          <w:sz w:val="28"/>
          <w:szCs w:val="28"/>
        </w:rPr>
        <w:t xml:space="preserve">ря позиции </w:t>
      </w:r>
      <w:r w:rsidRPr="00D14EE3">
        <w:rPr>
          <w:bCs/>
          <w:color w:val="000000"/>
          <w:sz w:val="28"/>
          <w:szCs w:val="28"/>
        </w:rPr>
        <w:t>РСПП</w:t>
      </w:r>
      <w:r w:rsidRPr="00D14EE3">
        <w:rPr>
          <w:color w:val="000000"/>
          <w:sz w:val="28"/>
          <w:szCs w:val="28"/>
        </w:rPr>
        <w:t xml:space="preserve"> полемика перешла в русло совместного поиска тех стимулов, которые могли бы мотивировать крупный </w:t>
      </w:r>
      <w:r w:rsidRPr="00D14EE3">
        <w:rPr>
          <w:bCs/>
          <w:color w:val="000000"/>
          <w:sz w:val="28"/>
          <w:szCs w:val="28"/>
        </w:rPr>
        <w:t>бизнес</w:t>
      </w:r>
      <w:r w:rsidRPr="00D14EE3">
        <w:rPr>
          <w:color w:val="000000"/>
          <w:sz w:val="28"/>
          <w:szCs w:val="28"/>
        </w:rPr>
        <w:t> инвестировать (в том числе и упомянутые сверхприбыли) в значимые для страны проекты.</w:t>
      </w:r>
      <w:r>
        <w:rPr>
          <w:color w:val="000000"/>
          <w:sz w:val="28"/>
          <w:szCs w:val="28"/>
        </w:rPr>
        <w:t xml:space="preserve"> </w:t>
      </w:r>
      <w:r w:rsidRPr="00D14EE3">
        <w:rPr>
          <w:color w:val="000000"/>
          <w:sz w:val="28"/>
          <w:szCs w:val="28"/>
        </w:rPr>
        <w:t>Предложенный в ходе этой дискуссии Минфином механизм СЗПК (соглашения о защите и поощрении капиталовложений) призван, по замыслу авторов, законодательно и юридически наделить инвестора иммунитетом от "токсичного" госрегулирования и изменения налогового режима в п</w:t>
      </w:r>
      <w:r>
        <w:rPr>
          <w:color w:val="000000"/>
          <w:sz w:val="28"/>
          <w:szCs w:val="28"/>
        </w:rPr>
        <w:t>ериод реализации инвестпроекта.</w:t>
      </w:r>
    </w:p>
    <w:p w:rsidR="00525E96" w:rsidRPr="00D14EE3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 w:rsidRPr="00D14EE3">
        <w:rPr>
          <w:color w:val="000000"/>
          <w:sz w:val="28"/>
          <w:szCs w:val="28"/>
        </w:rPr>
        <w:t>Согласно уже подготовленному пакету законопроектов, инвестору гарантируется сохранение всех налоговых и регуляторных условий на 6 лет при условии инвестирования от 3 млрд рублей и на 12 лет – при вложении суммы от 30 млрд рублей. Соглашение может быть пролонгировано на 6 лет при реинвестировании прибыли в РФ. Также механизм СЗПК подразумевает возмещение затрат на создание инфраструктуры в объеме налогов, уплачиваемых инвестором от реализации проекта.</w:t>
      </w:r>
    </w:p>
    <w:p w:rsidR="00525E96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14EE3">
        <w:rPr>
          <w:color w:val="000000"/>
          <w:sz w:val="28"/>
          <w:szCs w:val="28"/>
        </w:rPr>
        <w:t>Идея соглашения о защите и поощрении капиталовложений предполагает, что такие договоренности являются "платформенными", то есть могут описыв</w:t>
      </w:r>
      <w:r>
        <w:rPr>
          <w:color w:val="000000"/>
          <w:sz w:val="28"/>
          <w:szCs w:val="28"/>
        </w:rPr>
        <w:t xml:space="preserve">ать почти любой инвестконтракт. </w:t>
      </w:r>
      <w:r w:rsidRPr="00D14EE3">
        <w:rPr>
          <w:color w:val="000000"/>
          <w:sz w:val="28"/>
          <w:szCs w:val="28"/>
        </w:rPr>
        <w:t>Сторонами соглашения, по замыслу авторов законопроекта, выступают инвестор и Рос</w:t>
      </w:r>
      <w:r w:rsidRPr="00D14EE3">
        <w:rPr>
          <w:color w:val="000000"/>
          <w:sz w:val="28"/>
          <w:szCs w:val="28"/>
          <w:shd w:val="clear" w:color="auto" w:fill="FFFFFF"/>
        </w:rPr>
        <w:t>сийская Федерация, заключение ведется под эгидой Минфина.</w:t>
      </w:r>
    </w:p>
    <w:p w:rsidR="00525E96" w:rsidRPr="00D14EE3" w:rsidRDefault="00525E96" w:rsidP="00525E96">
      <w:pPr>
        <w:pStyle w:val="ab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</w:p>
    <w:p w:rsidR="00525E96" w:rsidRDefault="00525E96" w:rsidP="00525E9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</w:t>
      </w:r>
      <w:r w:rsidRPr="00550299">
        <w:rPr>
          <w:rFonts w:eastAsia="Times New Roman" w:cs="Times New Roman"/>
          <w:b/>
          <w:color w:val="000000"/>
          <w:sz w:val="28"/>
          <w:szCs w:val="28"/>
          <w:lang w:eastAsia="ru-RU"/>
        </w:rPr>
        <w:t>тказ от стабильного доступа к промресурсам ради «аукционных переделов» нивелирует все достижения в рыболовстве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- президент ВАРПЭ </w:t>
      </w:r>
      <w:r w:rsidRPr="00372D96">
        <w:rPr>
          <w:rFonts w:eastAsia="Times New Roman" w:cs="Times New Roman"/>
          <w:b/>
          <w:color w:val="000000"/>
          <w:sz w:val="28"/>
          <w:szCs w:val="28"/>
          <w:lang w:eastAsia="ru-RU"/>
        </w:rPr>
        <w:t>#</w:t>
      </w:r>
      <w:r w:rsidRPr="00372D96">
        <w:rPr>
          <w:rFonts w:eastAsia="Times New Roman" w:cs="Times New Roman"/>
          <w:color w:val="000000"/>
          <w:sz w:val="28"/>
          <w:szCs w:val="28"/>
          <w:lang w:eastAsia="ru-RU"/>
        </w:rPr>
        <w:t>снижение</w:t>
      </w:r>
    </w:p>
    <w:p w:rsidR="00525E96" w:rsidRPr="00372D96" w:rsidRDefault="00525E96" w:rsidP="00525E96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25E96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Позитивные изменения в регулировании рыбной отрасли России, которые были реализованы и реализуются в 2018 году регулятором Росрыболовством, оказались, по сути, перечеркнуты инициативами Федеральной антимонопольной службы об отмене долгосрочного доступа </w:t>
      </w:r>
      <w:r w:rsidRPr="00073824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бизнеса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 к производственному ресурсу и переходу к сомнительной практике распределения рыбных квот на аукционах каждые 2-3 года.</w:t>
      </w:r>
    </w:p>
    <w:p w:rsidR="00525E96" w:rsidRPr="00073824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этом на профильной сессии IV Восточного экономического форума (Владивосток, 11-13 сентября) заявил </w:t>
      </w:r>
      <w:r w:rsidRPr="00073824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президент Всероссийской ассоциации рыбопромышленников (ВАРПЭ), вице-президент </w:t>
      </w:r>
      <w:r w:rsidRPr="0007382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РСПП</w:t>
      </w:r>
      <w:r w:rsidRPr="00073824">
        <w:rPr>
          <w:rFonts w:eastAsia="Times New Roman" w:cs="Times New Roman"/>
          <w:b/>
          <w:color w:val="000000"/>
          <w:sz w:val="28"/>
          <w:szCs w:val="28"/>
          <w:lang w:eastAsia="ru-RU"/>
        </w:rPr>
        <w:t> Герман Зверев.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Участник дискуссии напомнил, что только стабильность отраслевого законодательства дает </w:t>
      </w:r>
      <w:r w:rsidRPr="00073824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бизнесу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 долгосрочный горизонт планирования, необходимый для инвестирования в основной капитал.</w:t>
      </w:r>
    </w:p>
    <w:p w:rsidR="00525E96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Напомним, что сессия "Рыбная отрасль: новые вызовы" прошла в рамках деловой программы ВЭФ 11 сентября этого года. Модерировал диалог старший па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ртнер McKinsey&amp;Company Е.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Солженицын, аудиторию составили руководители рыбопромышленных и смежных предприятий, представители госорганов, эксперты. Спикерами дискуссии выступили заместитель 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уководителя Росрыболовства П.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Савчук, президент ВАРПЭ, вице-президент </w:t>
      </w:r>
      <w:r w:rsidRPr="00073824">
        <w:rPr>
          <w:rFonts w:eastAsia="Times New Roman" w:cs="Times New Roman"/>
          <w:bCs/>
          <w:color w:val="000000"/>
          <w:sz w:val="28"/>
          <w:szCs w:val="28"/>
          <w:lang w:eastAsia="ru-RU"/>
        </w:rPr>
        <w:t>РСПП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Г.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Звер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ев, замген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директора ООО "Русская рыбо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промышленная компания" А.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Володин, президент Ассоциации добытчиков краба Дальнего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остока А.Дупляков и др.</w:t>
      </w:r>
    </w:p>
    <w:p w:rsidR="00525E96" w:rsidRPr="00073824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Президент ВАРПЭ Герман Зверев отметил, что тема сессии требует прежде всего расставить приоритеты в оценке тех угроз, рисков, проблем и вопросов, с которыми столкнулся рыбохозяйственный комплекс страны в ключевом для будущего отрасли 2018 году.</w:t>
      </w:r>
    </w:p>
    <w:p w:rsidR="00525E96" w:rsidRPr="00073824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"В этом году был сделан шаг вперед в части регулирования рыбной отрасли – перезаключены договоры по закреплению долей квот на 15 лет. И сразу же правительством были сделаны два шага назад. Что касается первого такого шага, я думаю, что коллеги, которые столкнулись с перспективой утраты </w:t>
      </w:r>
      <w:r w:rsidRPr="00073824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бизнеса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 в связи с изменением принципа предоставления квот – от "исторического" к аукционному – могут рассказать о том, какие перспективы инвестиционные у них были, и какие перспективы инвестиционные у них будут".</w:t>
      </w:r>
    </w:p>
    <w:p w:rsidR="00525E96" w:rsidRPr="00073824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"Те инвестиционные проекты, те заложенные суда, о которых говорит наш регулятор Росрыболовство, — это все результат такого бульона, где много ингредиентов. И один из основных ингредиентов этого питательного бульона, из которого растут инвестиции, — это стабильное законодательство", — отметил Зверев.</w:t>
      </w:r>
    </w:p>
    <w:p w:rsidR="00525E96" w:rsidRPr="00073824" w:rsidRDefault="00E578D9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525E96" w:rsidRPr="00073824">
        <w:rPr>
          <w:rFonts w:eastAsia="Times New Roman" w:cs="Times New Roman"/>
          <w:color w:val="000000"/>
          <w:sz w:val="28"/>
          <w:szCs w:val="28"/>
          <w:lang w:eastAsia="ru-RU"/>
        </w:rPr>
        <w:t>о оценке спикера, логика госоргана–регулятора рыбной отрасли, заинтересованного в долгосрочном сохранении "правил игры" и улучшении инвестиционного климата, была замена логикой совершенно другой структуры – Федеральной антимонопольной службы.</w:t>
      </w:r>
      <w:r w:rsidR="00525E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25E96" w:rsidRPr="00073824">
        <w:rPr>
          <w:rFonts w:eastAsia="Times New Roman" w:cs="Times New Roman"/>
          <w:color w:val="000000"/>
          <w:sz w:val="28"/>
          <w:szCs w:val="28"/>
          <w:lang w:eastAsia="ru-RU"/>
        </w:rPr>
        <w:t>"Мы видим, что позиция Росрыболовства о незыблемости исторического принципа, которая была сформулирована на нескольких заседаниях правительственной комиссии (по развитию рыбохозяйственного</w:t>
      </w:r>
      <w:r w:rsidR="00525E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комплекса РФ</w:t>
      </w:r>
      <w:r w:rsidR="00525E96" w:rsidRPr="00073824">
        <w:rPr>
          <w:rFonts w:eastAsia="Times New Roman" w:cs="Times New Roman"/>
          <w:color w:val="000000"/>
          <w:sz w:val="28"/>
          <w:szCs w:val="28"/>
          <w:lang w:eastAsia="ru-RU"/>
        </w:rPr>
        <w:t>), обрушена ФАС", — констатировал президент ВАРПЭ.</w:t>
      </w:r>
    </w:p>
    <w:p w:rsidR="00525E96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>"Я считаю, что эта "дорожная карта" приведет нас в трясину. Я считаю, что задачи, связанные с продвижением российской рыбопродукции на различных рынках, с обновлением флота и береговой переработки, — безусловно, важные и сложные. Но решаемые. Те же два вызова, те "два шага назад", которые отбрасывают отрасль в состояние нестабильности, переключают мышление </w:t>
      </w:r>
      <w:r w:rsidRPr="00073824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бизнеса</w:t>
      </w:r>
      <w:r w:rsidRPr="000738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не в сторону инвестиционных планов, создания сложных цепочек и схем продвижения продукции, а в плоскость элементарного выживания компаний", — </w:t>
      </w:r>
      <w:r w:rsidRPr="00073824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резюмировал президент ВАРПЭ Герман Зверев.</w:t>
      </w:r>
    </w:p>
    <w:p w:rsidR="00525E96" w:rsidRPr="00073824" w:rsidRDefault="00525E96" w:rsidP="00525E96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62A00" w:rsidRPr="00CB701C" w:rsidRDefault="00B62A00" w:rsidP="00CB701C">
      <w:pPr>
        <w:rPr>
          <w:rFonts w:cs="Times New Roman"/>
          <w:b/>
          <w:sz w:val="28"/>
          <w:szCs w:val="28"/>
        </w:rPr>
      </w:pPr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69" w:rsidRDefault="00E15969">
      <w:r>
        <w:separator/>
      </w:r>
    </w:p>
  </w:endnote>
  <w:endnote w:type="continuationSeparator" w:id="0">
    <w:p w:rsidR="00E15969" w:rsidRDefault="00E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59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59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69" w:rsidRDefault="00E15969">
      <w:r>
        <w:separator/>
      </w:r>
    </w:p>
  </w:footnote>
  <w:footnote w:type="continuationSeparator" w:id="0">
    <w:p w:rsidR="00E15969" w:rsidRDefault="00E1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E15969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A4CD3"/>
    <w:rsid w:val="000B128B"/>
    <w:rsid w:val="000B53B6"/>
    <w:rsid w:val="000B6C9B"/>
    <w:rsid w:val="000C69D4"/>
    <w:rsid w:val="000E37B6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F01DF"/>
    <w:rsid w:val="00241248"/>
    <w:rsid w:val="00255FFF"/>
    <w:rsid w:val="00271B34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D686D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5E96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30AB"/>
    <w:rsid w:val="006B15F2"/>
    <w:rsid w:val="006B690D"/>
    <w:rsid w:val="006C05AA"/>
    <w:rsid w:val="006D0E60"/>
    <w:rsid w:val="006E00AA"/>
    <w:rsid w:val="006E40B1"/>
    <w:rsid w:val="006F2B4B"/>
    <w:rsid w:val="006F2D73"/>
    <w:rsid w:val="006F3AE8"/>
    <w:rsid w:val="006F403B"/>
    <w:rsid w:val="00720994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142A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5602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7AC1"/>
    <w:rsid w:val="00B21633"/>
    <w:rsid w:val="00B224F9"/>
    <w:rsid w:val="00B51C05"/>
    <w:rsid w:val="00B55249"/>
    <w:rsid w:val="00B62A0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64192"/>
    <w:rsid w:val="00D71F6A"/>
    <w:rsid w:val="00D76334"/>
    <w:rsid w:val="00D950B3"/>
    <w:rsid w:val="00DA153D"/>
    <w:rsid w:val="00DA4E8B"/>
    <w:rsid w:val="00DA5E2C"/>
    <w:rsid w:val="00DB3A2A"/>
    <w:rsid w:val="00DB6133"/>
    <w:rsid w:val="00DD7563"/>
    <w:rsid w:val="00DE70BF"/>
    <w:rsid w:val="00E1129D"/>
    <w:rsid w:val="00E14618"/>
    <w:rsid w:val="00E15969"/>
    <w:rsid w:val="00E578D9"/>
    <w:rsid w:val="00E630AD"/>
    <w:rsid w:val="00E64940"/>
    <w:rsid w:val="00E8407B"/>
    <w:rsid w:val="00E84944"/>
    <w:rsid w:val="00E90A63"/>
    <w:rsid w:val="00E95F01"/>
    <w:rsid w:val="00EA7687"/>
    <w:rsid w:val="00EB478E"/>
    <w:rsid w:val="00EC1E8E"/>
    <w:rsid w:val="00EE315B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B3C9E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B4E3-C8D4-474E-9C92-BF498B4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2</cp:revision>
  <dcterms:created xsi:type="dcterms:W3CDTF">2018-10-17T03:36:00Z</dcterms:created>
  <dcterms:modified xsi:type="dcterms:W3CDTF">2018-10-17T03:36:00Z</dcterms:modified>
</cp:coreProperties>
</file>